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C7" w:rsidRPr="00875DC7" w:rsidRDefault="00D42B3C" w:rsidP="00875DC7">
      <w:pPr>
        <w:spacing w:after="0" w:line="240" w:lineRule="atLeast"/>
        <w:outlineLvl w:val="0"/>
        <w:rPr>
          <w:rFonts w:ascii="Arial" w:eastAsia="Times New Roman" w:hAnsi="Arial" w:cs="Arial"/>
          <w:caps/>
          <w:color w:val="4C721D"/>
          <w:kern w:val="36"/>
          <w:sz w:val="48"/>
          <w:szCs w:val="48"/>
        </w:rPr>
      </w:pPr>
      <w:r>
        <w:rPr>
          <w:rFonts w:ascii="Arial" w:eastAsia="Times New Roman" w:hAnsi="Arial" w:cs="Arial"/>
          <w:b/>
          <w:bCs/>
          <w:caps/>
          <w:color w:val="000000"/>
          <w:sz w:val="24"/>
          <w:szCs w:val="24"/>
        </w:rPr>
        <w:t>SW REAP Geographic Profile</w:t>
      </w:r>
      <w:bookmarkStart w:id="0" w:name="_GoBack"/>
      <w:bookmarkEnd w:id="0"/>
    </w:p>
    <w:tbl>
      <w:tblPr>
        <w:tblW w:w="10186" w:type="dxa"/>
        <w:tblBorders>
          <w:left w:val="single" w:sz="6" w:space="0" w:color="DBE5F1"/>
        </w:tblBorders>
        <w:shd w:val="clear" w:color="auto" w:fill="F2F2F2"/>
        <w:tblCellMar>
          <w:left w:w="0" w:type="dxa"/>
          <w:right w:w="0" w:type="dxa"/>
        </w:tblCellMar>
        <w:tblLook w:val="04A0" w:firstRow="1" w:lastRow="0" w:firstColumn="1" w:lastColumn="0" w:noHBand="0" w:noVBand="1"/>
      </w:tblPr>
      <w:tblGrid>
        <w:gridCol w:w="6607"/>
        <w:gridCol w:w="1303"/>
        <w:gridCol w:w="2276"/>
      </w:tblGrid>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DEMOGRAPHICS</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336699"/>
                <w:sz w:val="18"/>
                <w:szCs w:val="18"/>
              </w:rPr>
            </w:pPr>
            <w:r w:rsidRPr="00875DC7">
              <w:rPr>
                <w:rFonts w:ascii="Arial" w:eastAsia="Times New Roman" w:hAnsi="Arial" w:cs="Arial"/>
                <w:color w:val="336699"/>
                <w:sz w:val="18"/>
                <w:szCs w:val="18"/>
              </w:rPr>
              <w:t>2000 DATA</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336699"/>
                <w:sz w:val="18"/>
                <w:szCs w:val="18"/>
              </w:rPr>
            </w:pPr>
            <w:r w:rsidRPr="00875DC7">
              <w:rPr>
                <w:rFonts w:ascii="Arial" w:eastAsia="Times New Roman" w:hAnsi="Arial" w:cs="Arial"/>
                <w:color w:val="336699"/>
                <w:sz w:val="18"/>
                <w:szCs w:val="18"/>
              </w:rPr>
              <w:t>MOST RECENT DATA</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population</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38,365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44,066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of Color</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7.7%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with one or more disabilities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11.0%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AGING</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older adult population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6,838</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7,681 (2015)</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Median household income, 65+ head of household</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$28,264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$27,711 (2008-2012)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Percent of older adults with one or more disabilities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34.0%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CHILDREN AND YOUTH</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youth population (age 0-17)</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9,742</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9,911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can trust to talk to one or more adults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81.7%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have ever had sex</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43.6%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High schoolers who binge drank in the past month</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23.9%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Middle schoolers who have ever had sex</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Middle schoolers who have ever binge drank</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6.3% (2013)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CIVIC ENGAGEMENT</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Voter turnout</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64.1%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EARLY CHILDHOOD</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babies born (all births)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382</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709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Babies born at low birth weight**</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 (2013)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young child population (age 0-4)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2,685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Young children for whom all parents are working (age 0-5)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69.6% (2009-2013)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ECONOMY</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nonfarm jobs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21,363</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31,700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Total farm jobs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3,891</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3,516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lastRenderedPageBreak/>
              <w:t>Real median household income in 2012 dollars*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$43,656</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$59,813 (2012)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Individuals below the federal poverty level*</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11.3%</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9.0% (2013)</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HEALTH</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with diagnosed diabetes (age 20+)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9.5%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who are obese (age 20+)</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29.8% (2011)</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Residents without health insurance (under age 65)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11.9%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HOUSING</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Households paying 30% or more of income for monthly housing costs*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18.8%</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17.8% (2009-2013)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Homeownership rate</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73.9%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74.4% (2009-2013)</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Rate of homelessness per 10,000 residents</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N/A</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8.6 (2012)</w:t>
            </w:r>
          </w:p>
        </w:tc>
      </w:tr>
      <w:tr w:rsidR="00875DC7" w:rsidRPr="00875DC7" w:rsidTr="00875DC7">
        <w:tc>
          <w:tcPr>
            <w:tcW w:w="0" w:type="auto"/>
            <w:tcBorders>
              <w:bottom w:val="single" w:sz="6" w:space="0" w:color="DBE5F1"/>
              <w:right w:val="single" w:sz="6" w:space="0" w:color="DBE5F1"/>
            </w:tcBorders>
            <w:shd w:val="clear" w:color="auto" w:fill="DBE5F1"/>
            <w:noWrap/>
            <w:tcMar>
              <w:top w:w="144" w:type="dxa"/>
              <w:left w:w="144"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r w:rsidRPr="00875DC7">
              <w:rPr>
                <w:rFonts w:ascii="Arial" w:eastAsia="Times New Roman" w:hAnsi="Arial" w:cs="Arial"/>
                <w:b/>
                <w:bCs/>
                <w:color w:val="006699"/>
                <w:sz w:val="18"/>
                <w:szCs w:val="18"/>
              </w:rPr>
              <w:t>WORKFORCE</w:t>
            </w: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rPr>
                <w:rFonts w:ascii="Arial" w:eastAsia="Times New Roman" w:hAnsi="Arial" w:cs="Arial"/>
                <w:b/>
                <w:bCs/>
                <w:color w:val="006699"/>
                <w:sz w:val="18"/>
                <w:szCs w:val="18"/>
              </w:rPr>
            </w:pPr>
          </w:p>
        </w:tc>
        <w:tc>
          <w:tcPr>
            <w:tcW w:w="0" w:type="auto"/>
            <w:tcBorders>
              <w:bottom w:val="single" w:sz="6" w:space="0" w:color="DBE5F1"/>
              <w:right w:val="single" w:sz="6" w:space="0" w:color="DBE5F1"/>
            </w:tcBorders>
            <w:shd w:val="clear" w:color="auto" w:fill="DBE5F1"/>
            <w:noWrap/>
            <w:tcMar>
              <w:top w:w="0" w:type="dxa"/>
              <w:left w:w="144" w:type="dxa"/>
              <w:bottom w:w="0" w:type="dxa"/>
              <w:right w:w="144" w:type="dxa"/>
            </w:tcMar>
            <w:vAlign w:val="center"/>
            <w:hideMark/>
          </w:tcPr>
          <w:p w:rsidR="00875DC7" w:rsidRPr="00875DC7" w:rsidRDefault="00875DC7" w:rsidP="00D42B3C">
            <w:pPr>
              <w:spacing w:after="0" w:line="240" w:lineRule="auto"/>
              <w:jc w:val="right"/>
              <w:rPr>
                <w:rFonts w:ascii="Times New Roman" w:eastAsia="Times New Roman" w:hAnsi="Times New Roman" w:cs="Times New Roman"/>
                <w:sz w:val="20"/>
                <w:szCs w:val="20"/>
              </w:rPr>
            </w:pP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Adults with a bachelor's degree or higher (age 25+)</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19.9%</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22.1% (2008-2012)</w:t>
            </w:r>
          </w:p>
        </w:tc>
      </w:tr>
      <w:tr w:rsidR="00875DC7" w:rsidRPr="00875DC7" w:rsidTr="00875DC7">
        <w:tc>
          <w:tcPr>
            <w:tcW w:w="0" w:type="auto"/>
            <w:tcBorders>
              <w:bottom w:val="single" w:sz="6" w:space="0" w:color="DBE5F1"/>
              <w:right w:val="single" w:sz="6" w:space="0" w:color="DBE5F1"/>
            </w:tcBorders>
            <w:shd w:val="clear" w:color="auto" w:fill="FFFFFF"/>
            <w:noWrap/>
            <w:tcMar>
              <w:top w:w="144" w:type="dxa"/>
              <w:left w:w="432" w:type="dxa"/>
              <w:bottom w:w="144" w:type="dxa"/>
              <w:right w:w="144" w:type="dxa"/>
            </w:tcMar>
            <w:vAlign w:val="center"/>
            <w:hideMark/>
          </w:tcPr>
          <w:p w:rsidR="00875DC7" w:rsidRPr="00875DC7" w:rsidRDefault="00875DC7" w:rsidP="00D42B3C">
            <w:pPr>
              <w:spacing w:after="0" w:line="240" w:lineRule="auto"/>
              <w:rPr>
                <w:rFonts w:ascii="Arial" w:eastAsia="Times New Roman" w:hAnsi="Arial" w:cs="Arial"/>
                <w:color w:val="000000"/>
                <w:sz w:val="18"/>
                <w:szCs w:val="18"/>
              </w:rPr>
            </w:pPr>
            <w:r w:rsidRPr="00875DC7">
              <w:rPr>
                <w:rFonts w:ascii="Arial" w:eastAsia="Times New Roman" w:hAnsi="Arial" w:cs="Arial"/>
                <w:color w:val="000000"/>
                <w:sz w:val="18"/>
                <w:szCs w:val="18"/>
              </w:rPr>
              <w:t>Proportion of adults working (age 16-64)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75.4%</w:t>
            </w:r>
          </w:p>
        </w:tc>
        <w:tc>
          <w:tcPr>
            <w:tcW w:w="0" w:type="auto"/>
            <w:tcBorders>
              <w:bottom w:val="single" w:sz="6" w:space="0" w:color="DBE5F1"/>
              <w:right w:val="single" w:sz="6" w:space="0" w:color="DBE5F1"/>
            </w:tcBorders>
            <w:shd w:val="clear" w:color="auto" w:fill="FFFFFF"/>
            <w:noWrap/>
            <w:tcMar>
              <w:top w:w="144" w:type="dxa"/>
              <w:left w:w="144" w:type="dxa"/>
              <w:bottom w:w="144" w:type="dxa"/>
              <w:right w:w="144" w:type="dxa"/>
            </w:tcMar>
            <w:vAlign w:val="center"/>
            <w:hideMark/>
          </w:tcPr>
          <w:p w:rsidR="00875DC7" w:rsidRPr="00875DC7" w:rsidRDefault="00875DC7" w:rsidP="00D42B3C">
            <w:pPr>
              <w:spacing w:after="0" w:line="240" w:lineRule="auto"/>
              <w:jc w:val="right"/>
              <w:rPr>
                <w:rFonts w:ascii="Arial" w:eastAsia="Times New Roman" w:hAnsi="Arial" w:cs="Arial"/>
                <w:color w:val="000000"/>
                <w:sz w:val="18"/>
                <w:szCs w:val="18"/>
              </w:rPr>
            </w:pPr>
            <w:r w:rsidRPr="00875DC7">
              <w:rPr>
                <w:rFonts w:ascii="Arial" w:eastAsia="Times New Roman" w:hAnsi="Arial" w:cs="Arial"/>
                <w:color w:val="000000"/>
                <w:sz w:val="18"/>
                <w:szCs w:val="18"/>
              </w:rPr>
              <w:t>80.7% (2009-2013)</w:t>
            </w:r>
          </w:p>
        </w:tc>
      </w:tr>
    </w:tbl>
    <w:p w:rsidR="00875DC7" w:rsidRPr="00875DC7" w:rsidRDefault="00875DC7" w:rsidP="00D42B3C">
      <w:pPr>
        <w:spacing w:after="0" w:line="360" w:lineRule="atLeast"/>
        <w:outlineLvl w:val="2"/>
        <w:rPr>
          <w:rFonts w:ascii="Arial" w:eastAsia="Times New Roman" w:hAnsi="Arial" w:cs="Arial"/>
          <w:caps/>
          <w:color w:val="000000"/>
          <w:sz w:val="24"/>
          <w:szCs w:val="24"/>
        </w:rPr>
      </w:pPr>
      <w:r w:rsidRPr="00875DC7">
        <w:rPr>
          <w:rFonts w:ascii="Arial" w:eastAsia="Times New Roman" w:hAnsi="Arial" w:cs="Arial"/>
          <w:caps/>
          <w:color w:val="000000"/>
          <w:sz w:val="24"/>
          <w:szCs w:val="24"/>
        </w:rPr>
        <w:t>NOTES:</w:t>
      </w:r>
    </w:p>
    <w:p w:rsidR="00875DC7" w:rsidRPr="00875DC7" w:rsidRDefault="00875DC7" w:rsidP="00D42B3C">
      <w:pPr>
        <w:spacing w:after="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 Figures for individuals below the poverty level, median household income, and households paying 30% or more of their income for housing were collected from the 2000 decennial census, which asked about income during 1999. Elsewhere on the Compass site these figures are reported as 1999 data, but they are listed here in the 2000 column for comparison purposes.</w:t>
      </w:r>
    </w:p>
    <w:p w:rsidR="00875DC7" w:rsidRPr="00875DC7" w:rsidRDefault="00875DC7" w:rsidP="00D42B3C">
      <w:pPr>
        <w:spacing w:after="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 xml:space="preserve">** Babies with a birth weight under 2,500 grams (5lbs, 8 </w:t>
      </w:r>
      <w:proofErr w:type="spellStart"/>
      <w:r w:rsidRPr="00875DC7">
        <w:rPr>
          <w:rFonts w:ascii="Arial" w:eastAsia="Times New Roman" w:hAnsi="Arial" w:cs="Arial"/>
          <w:color w:val="000000"/>
          <w:sz w:val="18"/>
          <w:szCs w:val="18"/>
        </w:rPr>
        <w:t>oz</w:t>
      </w:r>
      <w:proofErr w:type="spellEnd"/>
      <w:r w:rsidRPr="00875DC7">
        <w:rPr>
          <w:rFonts w:ascii="Arial" w:eastAsia="Times New Roman" w:hAnsi="Arial" w:cs="Arial"/>
          <w:color w:val="000000"/>
          <w:sz w:val="18"/>
          <w:szCs w:val="18"/>
        </w:rPr>
        <w:t>) are considered to be low birth weight.</w:t>
      </w:r>
    </w:p>
    <w:p w:rsidR="00875DC7" w:rsidRPr="00875DC7" w:rsidRDefault="00875DC7" w:rsidP="00D42B3C">
      <w:pPr>
        <w:spacing w:after="0" w:line="360" w:lineRule="atLeast"/>
        <w:rPr>
          <w:rFonts w:ascii="Arial" w:eastAsia="Times New Roman" w:hAnsi="Arial" w:cs="Arial"/>
          <w:color w:val="000000"/>
          <w:sz w:val="18"/>
          <w:szCs w:val="18"/>
        </w:rPr>
      </w:pPr>
      <w:r w:rsidRPr="00875DC7">
        <w:rPr>
          <w:rFonts w:ascii="Arial" w:eastAsia="Times New Roman" w:hAnsi="Arial" w:cs="Arial"/>
          <w:color w:val="000000"/>
          <w:sz w:val="18"/>
          <w:szCs w:val="18"/>
        </w:rPr>
        <w:t>A value of "N/A" indicates that data either are unavailable, an estimate is unreliable, or data are suppressed because too few cases were recorded in the time period.</w:t>
      </w:r>
    </w:p>
    <w:p w:rsidR="00B82AFE" w:rsidRDefault="00D42B3C"/>
    <w:sectPr w:rsidR="00B8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C7"/>
    <w:rsid w:val="00502192"/>
    <w:rsid w:val="00875DC7"/>
    <w:rsid w:val="00924127"/>
    <w:rsid w:val="00D4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A6BC-2D9C-429B-AA3C-56D5BD3E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Tweeten</dc:creator>
  <cp:keywords/>
  <dc:description/>
  <cp:lastModifiedBy>Kathleen Tweeten</cp:lastModifiedBy>
  <cp:revision>2</cp:revision>
  <dcterms:created xsi:type="dcterms:W3CDTF">2016-03-22T17:50:00Z</dcterms:created>
  <dcterms:modified xsi:type="dcterms:W3CDTF">2016-03-22T17:50:00Z</dcterms:modified>
</cp:coreProperties>
</file>